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A5478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7A5478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7A547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7A5478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7A5478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7A5478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7A5478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7A5478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7A547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7A5478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7A547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7A5478">
        <w:rPr>
          <w:rFonts w:ascii="Sylfaen" w:hAnsi="Sylfaen"/>
          <w:b/>
          <w:sz w:val="24"/>
          <w:szCs w:val="24"/>
          <w:lang w:val="ka-GE"/>
        </w:rPr>
        <w:t>20......</w:t>
      </w:r>
      <w:r w:rsidRPr="007A5478">
        <w:rPr>
          <w:rFonts w:ascii="Sylfaen" w:hAnsi="Sylfaen"/>
          <w:b/>
          <w:sz w:val="24"/>
          <w:szCs w:val="24"/>
        </w:rPr>
        <w:t xml:space="preserve"> </w:t>
      </w:r>
      <w:r w:rsidRPr="007A5478">
        <w:rPr>
          <w:rFonts w:ascii="Sylfaen" w:hAnsi="Sylfaen"/>
          <w:b/>
          <w:sz w:val="24"/>
          <w:szCs w:val="24"/>
          <w:lang w:val="ka-GE"/>
        </w:rPr>
        <w:t>წლის</w:t>
      </w:r>
      <w:r w:rsidRPr="007A5478">
        <w:rPr>
          <w:rFonts w:ascii="Sylfaen" w:hAnsi="Sylfaen"/>
          <w:b/>
          <w:sz w:val="24"/>
          <w:szCs w:val="24"/>
        </w:rPr>
        <w:t xml:space="preserve"> </w:t>
      </w:r>
      <w:r w:rsidRPr="007A5478">
        <w:rPr>
          <w:rFonts w:ascii="Sylfaen" w:hAnsi="Sylfaen"/>
          <w:b/>
          <w:sz w:val="24"/>
          <w:szCs w:val="24"/>
          <w:lang w:val="ka-GE"/>
        </w:rPr>
        <w:t>„</w:t>
      </w:r>
      <w:r w:rsidRPr="007A5478">
        <w:rPr>
          <w:rFonts w:ascii="Sylfaen" w:hAnsi="Sylfaen"/>
          <w:b/>
          <w:sz w:val="24"/>
          <w:szCs w:val="24"/>
        </w:rPr>
        <w:t xml:space="preserve"> </w:t>
      </w:r>
      <w:r w:rsidRPr="007A5478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7A5478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7A547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7A5478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7A5478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7A547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7A54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A547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A547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7A54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7A54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7A54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7A54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E107B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7A547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7A547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8B4641" w:rsidP="00F67C6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F67C6F" w:rsidRPr="007A5478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F67C6F" w:rsidRPr="007A5478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7A54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7A5478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7A5478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F67C6F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უფროსის</w:t>
            </w:r>
          </w:p>
        </w:tc>
      </w:tr>
      <w:tr w:rsidR="008B4641" w:rsidRPr="007A54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F67C6F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7A54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F67C6F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7A547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7A547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F67C6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7A54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7A547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7A547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A547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7A54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7A54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F67C6F" w:rsidP="00F67C6F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ჩემს ყოველდღიურ საქმიანობას წარმოადგენს</w:t>
            </w:r>
            <w:r w:rsidRPr="007A5478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7A5478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მთავრობის</w:t>
            </w:r>
            <w:proofErr w:type="spellEnd"/>
            <w:r w:rsidRPr="007A5478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2010 </w:t>
            </w:r>
            <w:proofErr w:type="spellStart"/>
            <w:r w:rsidRPr="007A547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წლის</w:t>
            </w:r>
            <w:proofErr w:type="spellEnd"/>
            <w:r w:rsidRPr="007A5478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7A547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ნოემბრის</w:t>
            </w:r>
            <w:proofErr w:type="spellEnd"/>
            <w:r w:rsidRPr="007A5478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№331 </w:t>
            </w:r>
            <w:proofErr w:type="spellStart"/>
            <w:r w:rsidRPr="007A547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დადგენილებით</w:t>
            </w:r>
            <w:proofErr w:type="spellEnd"/>
            <w:r w:rsidRPr="007A547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განსაზღვრული ვალდებულებანი</w:t>
            </w:r>
            <w:r w:rsidRPr="007A547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A547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შესაბამისად მიზანს წარმოადგენს</w:t>
            </w:r>
            <w:r w:rsidRPr="007A547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7A547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მოსახლეობის ჯანმრთელობის დაცვის უზრუნველყოფა,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ინდივიდუალური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უზრუნველყოფა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>;,,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რეფერალური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>, ,,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უბედურებების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კატასტროფების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საგანგებო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სიტუაციების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კონფლიქტურ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რეგიონებში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დაზარალებულ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მთავრობის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მიერ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განსაზღვრული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შემთხვევების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დროს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კომპონენტის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“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>.</w:t>
            </w:r>
          </w:p>
        </w:tc>
      </w:tr>
      <w:tr w:rsidR="008B4641" w:rsidRPr="007A54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7A547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A547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521D15" w:rsidRPr="007A54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7A5478" w:rsidRDefault="00521D15" w:rsidP="00D32E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left="720"/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  2010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3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ნოემბრის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№331 დადგენილების თანახმად, </w:t>
            </w:r>
            <w:r w:rsidRPr="007A5478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>: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521D1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21D15" w:rsidRPr="007A54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7A5478" w:rsidRDefault="00521D15" w:rsidP="00D32E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;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  <w:r w:rsidRPr="007A5478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521D15" w:rsidP="00D32EFB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21D15" w:rsidRPr="007A54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7A5478" w:rsidRDefault="00521D15" w:rsidP="00D32E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7A5478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proofErr w:type="gram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 განმცხადებლისგან  სათანადო </w:t>
            </w:r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(მუდმივი).</w:t>
            </w:r>
          </w:p>
          <w:p w:rsidR="00521D15" w:rsidRPr="007A5478" w:rsidRDefault="00521D15" w:rsidP="00D32E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521D15" w:rsidRPr="007A5478" w:rsidRDefault="00521D15" w:rsidP="00D32EFB">
            <w:pP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521D15" w:rsidP="00D32EFB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21D15" w:rsidRPr="007A54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7A5478" w:rsidRDefault="00521D15" w:rsidP="00D32EFB">
            <w:pPr>
              <w:pStyle w:val="ListParagraph"/>
              <w:spacing w:line="360" w:lineRule="auto"/>
              <w:ind w:left="0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proofErr w:type="spellStart"/>
            <w:proofErr w:type="gramStart"/>
            <w:r w:rsidRPr="007A5478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ბაზ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ების</w:t>
            </w:r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წარმოება(მუდმივი).</w:t>
            </w:r>
          </w:p>
          <w:p w:rsidR="00521D15" w:rsidRPr="007A5478" w:rsidRDefault="00521D15" w:rsidP="00D32EF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521D15" w:rsidP="00D32EFB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21D15" w:rsidRPr="007A54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7A5478" w:rsidRDefault="00521D15" w:rsidP="00D32EF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521D15" w:rsidP="00D32EFB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21D15" w:rsidRPr="007A54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7A5478" w:rsidRDefault="00521D15" w:rsidP="00D32EF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lastRenderedPageBreak/>
              <w:t>მოქალაქეებთან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ზეპირი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პირადი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კავშირი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საორგანიზაციო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შემავალ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521D15" w:rsidP="00D32EFB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21D15" w:rsidRPr="007A54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7A5478" w:rsidRDefault="00521D15" w:rsidP="00D32EF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კანონმდებლობით განსაზღვრულ საკითხებზე სამმართველოს კომპეტენციის ფარგლებში სამმართველოს უფროსის სხვა დავალებების შესრულება</w:t>
            </w: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521D15" w:rsidP="00D32EFB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21D15" w:rsidRPr="007A54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7A5478" w:rsidRDefault="00521D15" w:rsidP="00D32E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აღნიშნული დადგენილების მარეგულირებელი სამართლებრივი აქტების ცოდნა და ცოდნის მართვა - გამოყენება ძირითადი  ფუნქციების შესრულებისას, სამინისტროს შინაგანაწესის დაცვა, პასუხისმგებლობა დაკისრებული ფუნქცია - მოვალეობების მიმართ (მუდმივად)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521D15" w:rsidP="00D32EFB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21D15" w:rsidRPr="007A54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521D15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521D15" w:rsidRPr="007A54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FD0649" w:rsidP="00FD0649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Sylfaen" w:hAnsi="Sylfaen"/>
                <w:sz w:val="24"/>
                <w:szCs w:val="24"/>
                <w:lang w:val="ka-GE"/>
              </w:rPr>
              <w:t>საქართველოს პარლამენტი (გარე)</w:t>
            </w:r>
          </w:p>
        </w:tc>
      </w:tr>
      <w:tr w:rsidR="00521D15" w:rsidRPr="007A54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FD0649" w:rsidP="00FD0649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Sylfaen" w:hAnsi="Sylfaen"/>
                <w:sz w:val="24"/>
                <w:szCs w:val="24"/>
                <w:lang w:val="ka-GE"/>
              </w:rPr>
              <w:t>მაჟორიტარი დეპუტატების ბიუროები (გარე)</w:t>
            </w:r>
          </w:p>
        </w:tc>
      </w:tr>
      <w:tr w:rsidR="00521D15" w:rsidRPr="007A54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FD0649" w:rsidP="00FD0649">
            <w:pPr>
              <w:pStyle w:val="BodyA"/>
              <w:spacing w:line="36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სტრუქტურული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ქვედანაყოფები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(შიდა)</w:t>
            </w:r>
          </w:p>
        </w:tc>
      </w:tr>
      <w:tr w:rsidR="00521D15" w:rsidRPr="007A54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FD0649" w:rsidP="00FD0649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სახელმწიფო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კონტროლს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დაქვემდებარებული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სამართლის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</w:rPr>
              <w:t xml:space="preserve"> იურიდიული </w:t>
            </w:r>
            <w:proofErr w:type="spellStart"/>
            <w:r w:rsidRPr="007A5478">
              <w:rPr>
                <w:rFonts w:ascii="Sylfaen" w:eastAsia="Sylfaen" w:hAnsi="Sylfaen"/>
                <w:sz w:val="24"/>
                <w:szCs w:val="24"/>
              </w:rPr>
              <w:t>პირები</w:t>
            </w:r>
            <w:proofErr w:type="spellEnd"/>
            <w:r w:rsidRPr="007A547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(გარე)</w:t>
            </w:r>
          </w:p>
        </w:tc>
      </w:tr>
      <w:tr w:rsidR="00521D15" w:rsidRPr="007A54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FD0649" w:rsidP="00FD0649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არასამთავრობო ორგანიზაციები </w:t>
            </w:r>
            <w:r w:rsidRPr="007A5478">
              <w:rPr>
                <w:rFonts w:ascii="Sylfaen" w:eastAsia="Times New Roman" w:hAnsi="Sylfaen"/>
                <w:sz w:val="24"/>
                <w:szCs w:val="24"/>
              </w:rPr>
              <w:t>(</w:t>
            </w:r>
            <w:r w:rsidRPr="007A5478">
              <w:rPr>
                <w:rFonts w:ascii="Sylfaen" w:eastAsia="Times New Roman" w:hAnsi="Sylfaen"/>
                <w:sz w:val="24"/>
                <w:szCs w:val="24"/>
                <w:lang w:val="ka-GE"/>
              </w:rPr>
              <w:t>გარე)</w:t>
            </w:r>
          </w:p>
        </w:tc>
      </w:tr>
      <w:tr w:rsidR="00521D15" w:rsidRPr="007A54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521D15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521D15" w:rsidRPr="007A54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7A5478" w:rsidRDefault="00BD76F7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რეფერალური მომსახურების ფარგლებში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შედეგების</w:t>
            </w:r>
            <w:proofErr w:type="spellEnd"/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(</w:t>
            </w: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დროებით ოკუპირებული ტერიტორიების მიმდებარე სოფლების მოსახელეობა)  ანალიზი ყოველი კომისიის შემდეგ, ასევე კომისიის გადაწყვეტილებებისა და სამმართველოში შემოსული განცხადებების მიხედვით გარკვეული ანალიზი კონკრეტულ ჭრილში(სამმართველოს უფროსის დავალების შესაბამისად)</w:t>
            </w:r>
          </w:p>
        </w:tc>
      </w:tr>
    </w:tbl>
    <w:p w:rsidR="005D776B" w:rsidRPr="007A547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7A5478">
        <w:rPr>
          <w:rFonts w:ascii="Sylfaen" w:hAnsi="Sylfaen"/>
          <w:b/>
          <w:szCs w:val="24"/>
          <w:lang w:val="ka-GE"/>
        </w:rPr>
        <w:tab/>
      </w:r>
      <w:r w:rsidRPr="007A5478">
        <w:rPr>
          <w:rFonts w:ascii="Sylfaen" w:hAnsi="Sylfaen"/>
          <w:b/>
          <w:szCs w:val="24"/>
          <w:lang w:val="ka-GE"/>
        </w:rPr>
        <w:tab/>
      </w:r>
      <w:r w:rsidRPr="007A5478">
        <w:rPr>
          <w:rFonts w:ascii="Sylfaen" w:hAnsi="Sylfaen"/>
          <w:b/>
          <w:szCs w:val="24"/>
          <w:lang w:val="ka-GE"/>
        </w:rPr>
        <w:tab/>
      </w:r>
      <w:r w:rsidRPr="007A5478">
        <w:rPr>
          <w:rFonts w:ascii="Sylfaen" w:hAnsi="Sylfaen"/>
          <w:b/>
          <w:szCs w:val="24"/>
          <w:lang w:val="ka-GE"/>
        </w:rPr>
        <w:tab/>
      </w:r>
      <w:r w:rsidRPr="007A5478">
        <w:rPr>
          <w:rFonts w:ascii="Sylfaen" w:hAnsi="Sylfaen"/>
          <w:b/>
          <w:szCs w:val="24"/>
          <w:lang w:val="ka-GE"/>
        </w:rPr>
        <w:tab/>
      </w:r>
      <w:r w:rsidRPr="007A5478">
        <w:rPr>
          <w:rFonts w:ascii="Sylfaen" w:hAnsi="Sylfaen"/>
          <w:b/>
          <w:szCs w:val="24"/>
          <w:lang w:val="ka-GE"/>
        </w:rPr>
        <w:tab/>
      </w:r>
      <w:r w:rsidRPr="007A5478">
        <w:rPr>
          <w:rFonts w:ascii="Sylfaen" w:hAnsi="Sylfaen"/>
          <w:b/>
          <w:szCs w:val="24"/>
          <w:lang w:val="ka-GE"/>
        </w:rPr>
        <w:tab/>
      </w:r>
    </w:p>
    <w:p w:rsidR="0074698E" w:rsidRPr="007A547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7A5478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7A547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7A547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A547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7A547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A547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A547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7A547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7A547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A547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7A547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7A547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A5478" w:rsidRDefault="00FF19AC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A5478" w:rsidRDefault="00FF19AC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7A547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A547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A547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7A547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A5478" w:rsidRDefault="00FF19AC" w:rsidP="00FF19AC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A5478" w:rsidRDefault="00FF19AC" w:rsidP="00FF19AC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</w:tr>
      <w:tr w:rsidR="00B313DF" w:rsidRPr="007A5478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A547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A547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A547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7A5478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7A5478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A5478" w:rsidRDefault="0082048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A5478" w:rsidRDefault="00555406" w:rsidP="00555406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სერტიფიკატები საზოგადოებასთან ურთიერთობა</w:t>
            </w:r>
          </w:p>
        </w:tc>
      </w:tr>
      <w:tr w:rsidR="007275E6" w:rsidRPr="007A547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A547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7A547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A547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A547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7A547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7A547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A5478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A5478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ED1879" w:rsidRPr="007A547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7A5478" w:rsidRDefault="00ED1879" w:rsidP="00ED1879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7A5478">
              <w:rPr>
                <w:rFonts w:ascii="Sylfaen" w:hAnsi="Sylfaen"/>
                <w:sz w:val="24"/>
                <w:szCs w:val="24"/>
              </w:rPr>
              <w:t>   </w:t>
            </w:r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7A547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7A547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,     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>;</w:t>
            </w:r>
            <w:r w:rsidRPr="007A547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>;</w:t>
            </w:r>
            <w:r w:rsidRPr="007A547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>;</w:t>
            </w:r>
          </w:p>
          <w:p w:rsidR="00ED1879" w:rsidRPr="007A5478" w:rsidRDefault="00ED1879" w:rsidP="00ED1879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7A5478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7A5478">
              <w:rPr>
                <w:rFonts w:ascii="Sylfaen" w:hAnsi="Sylfaen" w:cs="Sylfaen"/>
                <w:sz w:val="24"/>
                <w:szCs w:val="24"/>
              </w:rPr>
              <w:t xml:space="preserve">;  </w:t>
            </w:r>
          </w:p>
          <w:p w:rsidR="00ED1879" w:rsidRPr="007A5478" w:rsidRDefault="00ED1879" w:rsidP="00ED1879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7A5478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  <w:r w:rsidRPr="007A5478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7A5478" w:rsidRDefault="00ED1879" w:rsidP="00ED187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ED1879" w:rsidRPr="007A547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7A5478" w:rsidRDefault="00ED1879" w:rsidP="00ED1879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</w:rPr>
              <w:t>   </w:t>
            </w:r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7A5478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7A547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7A5478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lastRenderedPageBreak/>
              <w:t>მთავრობის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7A547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>;</w:t>
            </w:r>
            <w:r w:rsidRPr="007A547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>;</w:t>
            </w:r>
            <w:r w:rsidRPr="007A5478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7A547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>;</w:t>
            </w:r>
            <w:r w:rsidRPr="007A547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7A547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>;</w:t>
            </w:r>
            <w:r w:rsidRPr="007A5478">
              <w:rPr>
                <w:rFonts w:ascii="Sylfaen" w:hAnsi="Sylfaen"/>
                <w:sz w:val="24"/>
                <w:szCs w:val="24"/>
              </w:rPr>
              <w:br/>
              <w:t xml:space="preserve">   - ,,2013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31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ოქტომბრის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№279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lastRenderedPageBreak/>
              <w:t>დადგენილებ</w:t>
            </w:r>
            <w:r w:rsidRPr="007A547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>.</w:t>
            </w:r>
            <w:r w:rsidRPr="007A547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7A5478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7A547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ED1879" w:rsidRPr="007A5478" w:rsidRDefault="00ED1879" w:rsidP="00ED18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7A547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7A547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7A5478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7A547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ED1879" w:rsidRPr="007A5478" w:rsidRDefault="00ED1879" w:rsidP="00ED187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2014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14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იანვრის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 xml:space="preserve"> №01-6/ო </w:t>
            </w:r>
            <w:proofErr w:type="spellStart"/>
            <w:r w:rsidRPr="007A5478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7A547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7A5478" w:rsidRDefault="00ED1879" w:rsidP="00ED1879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ED1879" w:rsidRPr="007A547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7A5478" w:rsidRDefault="00ED1879" w:rsidP="00ED1879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7A5478" w:rsidRDefault="00ED1879" w:rsidP="00ED1879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3268E2" w:rsidRPr="007A5478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7A5478" w:rsidRDefault="003268E2" w:rsidP="003268E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7A5478" w:rsidRDefault="003268E2" w:rsidP="003268E2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3268E2" w:rsidRPr="007A547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7A5478" w:rsidRDefault="003268E2" w:rsidP="003268E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7A5478" w:rsidRDefault="003268E2" w:rsidP="003268E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3268E2" w:rsidRPr="007A5478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3A35" w:rsidRPr="007A5478" w:rsidRDefault="003268E2" w:rsidP="00033A3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33A35"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033A35" w:rsidRPr="007A5478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033A35" w:rsidRPr="007A5478" w:rsidRDefault="00033A35" w:rsidP="00033A3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7A5478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033A35" w:rsidRPr="007A5478" w:rsidRDefault="00033A35" w:rsidP="00033A3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7A5478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033A35" w:rsidRPr="007A5478" w:rsidRDefault="00033A35" w:rsidP="00033A3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  </w:t>
            </w:r>
            <w:r w:rsidRPr="007A5478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3268E2" w:rsidRPr="007A5478" w:rsidRDefault="00033A35" w:rsidP="00033A3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7A5478" w:rsidRDefault="003268E2" w:rsidP="003268E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 </w:t>
            </w:r>
            <w:r w:rsidR="00033A35" w:rsidRPr="007A5478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</w:tr>
      <w:tr w:rsidR="003268E2" w:rsidRPr="007A547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7A5478" w:rsidRDefault="003268E2" w:rsidP="003268E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7A5478" w:rsidRDefault="003268E2" w:rsidP="003268E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8584B" w:rsidRPr="007A5478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 </w:t>
            </w:r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7A5478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D8584B" w:rsidRPr="007A5478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8584B" w:rsidRPr="007A5478" w:rsidRDefault="00D8584B" w:rsidP="00D8584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8584B" w:rsidRPr="007A5478" w:rsidRDefault="00D8584B" w:rsidP="00D8584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8584B" w:rsidRPr="007A547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8584B" w:rsidRPr="007A547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7A547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7A547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8584B" w:rsidRPr="007A547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8584B" w:rsidRPr="007A5478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115065" w:rsidP="0011506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7A5478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7A547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115065" w:rsidP="00D8584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D8584B" w:rsidRPr="007A547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8584B" w:rsidRPr="007A547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D934F6" w:rsidP="00D8584B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D934F6" w:rsidRPr="007A5478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D8584B" w:rsidRPr="007A547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7A5478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7A5478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8584B" w:rsidRPr="007A5478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7A5478" w:rsidRDefault="002A5C05" w:rsidP="00D8584B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7A5478" w:rsidRDefault="002A5C05" w:rsidP="00D8584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D8584B" w:rsidRPr="007A547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7A547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7A5478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8584B" w:rsidRPr="007A547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99D" w:rsidRPr="007A5478" w:rsidRDefault="0013799D" w:rsidP="0013799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13799D" w:rsidRPr="007A5478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13799D" w:rsidRPr="007A5478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13799D" w:rsidRPr="007A5478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13799D" w:rsidRPr="007A5478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13799D" w:rsidRPr="007A5478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13799D" w:rsidRPr="007A5478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13799D" w:rsidRPr="007A5478" w:rsidRDefault="0013799D" w:rsidP="0013799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13799D" w:rsidRPr="007A5478" w:rsidRDefault="0013799D" w:rsidP="0013799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D8584B" w:rsidRPr="007A5478" w:rsidRDefault="0013799D" w:rsidP="0013799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  <w:tr w:rsidR="00D8584B" w:rsidRPr="007A547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D8584B" w:rsidRPr="007A547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7A5478" w:rsidRDefault="00D8584B" w:rsidP="00D8584B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A5478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7A547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7A547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7A547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7A5478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7A547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7A547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7A547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7A5478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7A5478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7A547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3A35"/>
    <w:rsid w:val="00075AE3"/>
    <w:rsid w:val="000F7F4D"/>
    <w:rsid w:val="00115065"/>
    <w:rsid w:val="00127851"/>
    <w:rsid w:val="0013799D"/>
    <w:rsid w:val="00140295"/>
    <w:rsid w:val="0014563E"/>
    <w:rsid w:val="00155873"/>
    <w:rsid w:val="0016142B"/>
    <w:rsid w:val="001639C2"/>
    <w:rsid w:val="002041EC"/>
    <w:rsid w:val="002A5C05"/>
    <w:rsid w:val="003050A0"/>
    <w:rsid w:val="003268E2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521D15"/>
    <w:rsid w:val="00531671"/>
    <w:rsid w:val="00555406"/>
    <w:rsid w:val="005C32E9"/>
    <w:rsid w:val="005D35CF"/>
    <w:rsid w:val="005D5CDB"/>
    <w:rsid w:val="005D776B"/>
    <w:rsid w:val="006A06CE"/>
    <w:rsid w:val="006C54B7"/>
    <w:rsid w:val="007275E6"/>
    <w:rsid w:val="0074698E"/>
    <w:rsid w:val="00765DB6"/>
    <w:rsid w:val="00776486"/>
    <w:rsid w:val="00790C3C"/>
    <w:rsid w:val="007A5478"/>
    <w:rsid w:val="0082048F"/>
    <w:rsid w:val="00861CD0"/>
    <w:rsid w:val="00884ED7"/>
    <w:rsid w:val="008B4641"/>
    <w:rsid w:val="008D2B69"/>
    <w:rsid w:val="009110BB"/>
    <w:rsid w:val="00962D44"/>
    <w:rsid w:val="009722EE"/>
    <w:rsid w:val="009856E3"/>
    <w:rsid w:val="009E42F5"/>
    <w:rsid w:val="00A1618E"/>
    <w:rsid w:val="00A246A4"/>
    <w:rsid w:val="00AC1DDE"/>
    <w:rsid w:val="00B313DF"/>
    <w:rsid w:val="00B56A23"/>
    <w:rsid w:val="00BD76F7"/>
    <w:rsid w:val="00C83B83"/>
    <w:rsid w:val="00CE7DB0"/>
    <w:rsid w:val="00D1703E"/>
    <w:rsid w:val="00D17C78"/>
    <w:rsid w:val="00D8584B"/>
    <w:rsid w:val="00D934F6"/>
    <w:rsid w:val="00DB3C17"/>
    <w:rsid w:val="00E035B4"/>
    <w:rsid w:val="00E05CF9"/>
    <w:rsid w:val="00E107B0"/>
    <w:rsid w:val="00E1292D"/>
    <w:rsid w:val="00E423BA"/>
    <w:rsid w:val="00E73C5C"/>
    <w:rsid w:val="00E8550E"/>
    <w:rsid w:val="00EA3706"/>
    <w:rsid w:val="00ED1879"/>
    <w:rsid w:val="00EE5D2A"/>
    <w:rsid w:val="00EF279F"/>
    <w:rsid w:val="00F330D3"/>
    <w:rsid w:val="00F67C6F"/>
    <w:rsid w:val="00FB04ED"/>
    <w:rsid w:val="00FB7BEB"/>
    <w:rsid w:val="00FD0649"/>
    <w:rsid w:val="00FD6ED3"/>
    <w:rsid w:val="00FE1C08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2DAC-B738-41F7-B126-E7A14640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73</cp:revision>
  <dcterms:created xsi:type="dcterms:W3CDTF">2015-05-22T17:38:00Z</dcterms:created>
  <dcterms:modified xsi:type="dcterms:W3CDTF">2015-10-09T08:59:00Z</dcterms:modified>
</cp:coreProperties>
</file>